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52046984" w:rsidR="006750D6" w:rsidRPr="004B7E17" w:rsidRDefault="006750D6"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w:t>
      </w:r>
      <w:r>
        <w:rPr>
          <w:rFonts w:ascii="Arial" w:hAnsi="Arial" w:cs="Arial"/>
          <w:b/>
          <w:noProof/>
          <w:sz w:val="24"/>
          <w:szCs w:val="24"/>
        </w:rPr>
        <w:t>9</w:t>
      </w:r>
      <w:r w:rsidR="000F5D6E">
        <w:rPr>
          <w:rFonts w:ascii="Arial" w:hAnsi="Arial" w:cs="Arial"/>
          <w:b/>
          <w:noProof/>
          <w:sz w:val="24"/>
          <w:szCs w:val="24"/>
        </w:rPr>
        <w:t>4</w:t>
      </w:r>
      <w:r w:rsidRPr="004B7E17">
        <w:rPr>
          <w:rFonts w:ascii="Arial" w:hAnsi="Arial" w:cs="Arial"/>
          <w:b/>
          <w:noProof/>
          <w:sz w:val="24"/>
          <w:szCs w:val="24"/>
        </w:rPr>
        <w:tab/>
      </w:r>
      <w:r w:rsidR="00BD00B2" w:rsidRPr="00BD00B2">
        <w:rPr>
          <w:rFonts w:ascii="Arial" w:hAnsi="Arial" w:cs="Arial"/>
          <w:b/>
          <w:bCs/>
          <w:color w:val="808080"/>
          <w:sz w:val="26"/>
          <w:szCs w:val="26"/>
        </w:rPr>
        <w:t>R4-2002056</w:t>
      </w:r>
      <w:bookmarkStart w:id="1" w:name="_GoBack"/>
      <w:bookmarkEnd w:id="1"/>
    </w:p>
    <w:p w14:paraId="611F560D" w14:textId="77777777" w:rsidR="009C4723" w:rsidRDefault="009C4723" w:rsidP="009C4723">
      <w:pPr>
        <w:pStyle w:val="Footer"/>
        <w:jc w:val="both"/>
        <w:rPr>
          <w:rFonts w:eastAsia="SimSun"/>
          <w:i w:val="0"/>
          <w:noProof w:val="0"/>
          <w:sz w:val="24"/>
          <w:szCs w:val="24"/>
        </w:rPr>
      </w:pPr>
      <w:r>
        <w:rPr>
          <w:rFonts w:eastAsia="SimSun"/>
          <w:i w:val="0"/>
          <w:noProof w:val="0"/>
          <w:sz w:val="24"/>
          <w:szCs w:val="24"/>
        </w:rPr>
        <w:t>Online Meeting, Feb</w:t>
      </w:r>
      <w:r w:rsidRPr="0000187B">
        <w:rPr>
          <w:rFonts w:eastAsia="SimSun"/>
          <w:i w:val="0"/>
          <w:noProof w:val="0"/>
          <w:sz w:val="24"/>
          <w:szCs w:val="24"/>
        </w:rPr>
        <w:t xml:space="preserve"> </w:t>
      </w:r>
      <w:r>
        <w:rPr>
          <w:rFonts w:eastAsia="SimSun"/>
          <w:i w:val="0"/>
          <w:noProof w:val="0"/>
          <w:sz w:val="24"/>
          <w:szCs w:val="24"/>
        </w:rPr>
        <w:t>24</w:t>
      </w:r>
      <w:r w:rsidRPr="00AC0688">
        <w:rPr>
          <w:rFonts w:eastAsia="SimSun"/>
          <w:i w:val="0"/>
          <w:noProof w:val="0"/>
          <w:sz w:val="24"/>
          <w:szCs w:val="24"/>
          <w:vertAlign w:val="superscript"/>
        </w:rPr>
        <w:t>th</w:t>
      </w:r>
      <w:r w:rsidRPr="0000187B">
        <w:rPr>
          <w:rFonts w:eastAsia="SimSun"/>
          <w:i w:val="0"/>
          <w:noProof w:val="0"/>
          <w:sz w:val="24"/>
          <w:szCs w:val="24"/>
        </w:rPr>
        <w:t xml:space="preserve"> – </w:t>
      </w:r>
      <w:r>
        <w:rPr>
          <w:rFonts w:eastAsia="SimSun"/>
          <w:i w:val="0"/>
          <w:noProof w:val="0"/>
          <w:sz w:val="24"/>
          <w:szCs w:val="24"/>
        </w:rPr>
        <w:t>Mar 6</w:t>
      </w:r>
      <w:r w:rsidRPr="00AC0688">
        <w:rPr>
          <w:rFonts w:eastAsia="SimSun"/>
          <w:i w:val="0"/>
          <w:noProof w:val="0"/>
          <w:sz w:val="24"/>
          <w:szCs w:val="24"/>
          <w:vertAlign w:val="superscript"/>
        </w:rPr>
        <w:t>th</w:t>
      </w:r>
      <w:r>
        <w:rPr>
          <w:rFonts w:eastAsia="SimSun"/>
          <w:i w:val="0"/>
          <w:noProof w:val="0"/>
          <w:sz w:val="24"/>
          <w:szCs w:val="24"/>
        </w:rPr>
        <w:t xml:space="preserve"> </w:t>
      </w:r>
      <w:r w:rsidRPr="0000187B">
        <w:rPr>
          <w:rFonts w:eastAsia="SimSun"/>
          <w:i w:val="0"/>
          <w:noProof w:val="0"/>
          <w:sz w:val="24"/>
          <w:szCs w:val="24"/>
        </w:rPr>
        <w:t xml:space="preserve"> , 20</w:t>
      </w:r>
      <w:r>
        <w:rPr>
          <w:rFonts w:eastAsia="SimSun"/>
          <w:i w:val="0"/>
          <w:noProof w:val="0"/>
          <w:sz w:val="24"/>
          <w:szCs w:val="24"/>
        </w:rPr>
        <w:t>20</w:t>
      </w:r>
    </w:p>
    <w:p w14:paraId="14FCB88D" w14:textId="77777777" w:rsidR="006750D6" w:rsidRDefault="006750D6" w:rsidP="006750D6">
      <w:pPr>
        <w:pStyle w:val="Footer"/>
        <w:jc w:val="both"/>
        <w:rPr>
          <w:noProof w:val="0"/>
        </w:rPr>
      </w:pPr>
    </w:p>
    <w:p w14:paraId="3E40B697" w14:textId="3CFFB4F8"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9C4723" w:rsidRPr="009C4723">
        <w:rPr>
          <w:rFonts w:ascii="Arial" w:hAnsi="Arial"/>
          <w:b/>
          <w:bCs/>
          <w:sz w:val="24"/>
        </w:rPr>
        <w:t>Further</w:t>
      </w:r>
      <w:r w:rsidR="009C4723">
        <w:rPr>
          <w:rFonts w:ascii="Arial" w:hAnsi="Arial"/>
          <w:sz w:val="24"/>
        </w:rPr>
        <w:t xml:space="preserve"> </w:t>
      </w:r>
      <w:r w:rsidR="009C4723">
        <w:rPr>
          <w:rFonts w:ascii="Arial" w:hAnsi="Arial"/>
          <w:b/>
          <w:sz w:val="24"/>
        </w:rPr>
        <w:t>d</w:t>
      </w:r>
      <w:r w:rsidR="009D3487">
        <w:rPr>
          <w:rFonts w:ascii="Arial" w:hAnsi="Arial"/>
          <w:b/>
          <w:sz w:val="24"/>
        </w:rPr>
        <w:t>iscussion</w:t>
      </w:r>
      <w:r w:rsidR="00FA552F">
        <w:rPr>
          <w:rFonts w:ascii="Arial" w:hAnsi="Arial"/>
          <w:b/>
          <w:sz w:val="24"/>
        </w:rPr>
        <w:t xml:space="preserve"> on early measurement reporting</w:t>
      </w:r>
      <w:r w:rsidR="009C4723">
        <w:rPr>
          <w:rFonts w:ascii="Arial" w:hAnsi="Arial"/>
          <w:b/>
          <w:sz w:val="24"/>
        </w:rPr>
        <w:t xml:space="preserve"> in MR-DC</w:t>
      </w:r>
      <w:r>
        <w:rPr>
          <w:rFonts w:ascii="Arial" w:hAnsi="Arial"/>
          <w:b/>
          <w:sz w:val="24"/>
        </w:rPr>
        <w:t xml:space="preserve"> </w:t>
      </w:r>
      <w:r w:rsidRPr="001E48B2">
        <w:rPr>
          <w:rFonts w:ascii="Arial" w:eastAsia="SimSun" w:hAnsi="Arial"/>
          <w:b/>
          <w:sz w:val="24"/>
          <w:lang w:eastAsia="zh-CN"/>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7A60810E" w14:textId="77777777" w:rsidR="00B06907"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2C50D8" w:rsidRPr="002C50D8">
        <w:rPr>
          <w:rFonts w:ascii="Arial" w:hAnsi="Arial"/>
          <w:b/>
          <w:sz w:val="24"/>
        </w:rPr>
        <w:t>9.6.3.2</w:t>
      </w:r>
      <w:r w:rsidR="002C50D8" w:rsidRPr="002C50D8">
        <w:rPr>
          <w:rFonts w:ascii="Arial" w:hAnsi="Arial"/>
          <w:b/>
          <w:sz w:val="24"/>
        </w:rPr>
        <w:tab/>
        <w:t xml:space="preserve">Early Measurement reporting </w:t>
      </w:r>
      <w:r w:rsidR="002C50D8" w:rsidRPr="002C50D8">
        <w:rPr>
          <w:rFonts w:ascii="Arial" w:hAnsi="Arial"/>
          <w:b/>
          <w:sz w:val="24"/>
        </w:rPr>
        <w:tab/>
        <w:t>[LTE_NR_DC_CA_enh-Core]</w:t>
      </w:r>
    </w:p>
    <w:p w14:paraId="033ECDDE" w14:textId="79818F39"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4E59C5" w:rsidP="006750D6">
      <w:r>
        <w:pict w14:anchorId="71BC3458">
          <v:rect id="_x0000_i1025" style="width:0;height:1.5pt" o:hralign="center" o:hrstd="t" o:hr="t" fillcolor="#a0a0a0" stroked="f"/>
        </w:pict>
      </w:r>
    </w:p>
    <w:p w14:paraId="60B4BB2E" w14:textId="77777777" w:rsidR="006750D6" w:rsidRDefault="006750D6" w:rsidP="006750D6">
      <w:pPr>
        <w:pStyle w:val="Heading1"/>
      </w:pPr>
      <w:r w:rsidRPr="00E15948">
        <w:t>Introduction</w:t>
      </w:r>
    </w:p>
    <w:p w14:paraId="04F17FF3" w14:textId="16172E42" w:rsidR="000F5D6E" w:rsidRDefault="006750D6" w:rsidP="000F5D6E">
      <w:r>
        <w:t>In R</w:t>
      </w:r>
      <w:r w:rsidR="00F61425">
        <w:t>AN4-9</w:t>
      </w:r>
      <w:r w:rsidR="000F5D6E">
        <w:t>3</w:t>
      </w:r>
      <w:r w:rsidR="00F61425">
        <w:t xml:space="preserve"> a WF </w:t>
      </w:r>
      <w:r w:rsidR="00403E25">
        <w:t xml:space="preserve">[1] </w:t>
      </w:r>
      <w:r w:rsidR="00F61425">
        <w:t xml:space="preserve">on </w:t>
      </w:r>
      <w:r w:rsidR="009D3487">
        <w:t>MR-DC</w:t>
      </w:r>
      <w:r w:rsidR="00F61425">
        <w:t xml:space="preserve"> </w:t>
      </w:r>
      <w:r>
        <w:t xml:space="preserve"> </w:t>
      </w:r>
      <w:r w:rsidR="00403E25">
        <w:t>was agreed.</w:t>
      </w:r>
      <w:r>
        <w:t xml:space="preserve"> </w:t>
      </w:r>
      <w:r w:rsidR="000F5D6E">
        <w:t>Following are the list of open items listed in the WF</w:t>
      </w:r>
    </w:p>
    <w:p w14:paraId="12565ACB" w14:textId="7824EE60" w:rsidR="000F5D6E" w:rsidRPr="000F5D6E" w:rsidRDefault="000F5D6E" w:rsidP="000F5D6E">
      <w:pPr>
        <w:rPr>
          <w:i/>
          <w:iCs/>
        </w:rPr>
      </w:pPr>
      <w:r w:rsidRPr="000F5D6E">
        <w:rPr>
          <w:i/>
          <w:iCs/>
        </w:rPr>
        <w:t>For NR EMR</w:t>
      </w:r>
    </w:p>
    <w:p w14:paraId="5979CD73" w14:textId="509CB5A5" w:rsidR="000F5D6E" w:rsidRPr="000F5D6E" w:rsidRDefault="000F5D6E" w:rsidP="000F5D6E">
      <w:pPr>
        <w:pStyle w:val="ListParagraph"/>
        <w:numPr>
          <w:ilvl w:val="0"/>
          <w:numId w:val="8"/>
        </w:numPr>
        <w:rPr>
          <w:i/>
          <w:iCs/>
        </w:rPr>
      </w:pPr>
      <w:r w:rsidRPr="000F5D6E">
        <w:rPr>
          <w:i/>
          <w:iCs/>
        </w:rPr>
        <w:t>Definition of overlapping carrier</w:t>
      </w:r>
    </w:p>
    <w:p w14:paraId="26F1675D" w14:textId="62E909E3" w:rsidR="000F5D6E" w:rsidRPr="000F5D6E" w:rsidRDefault="000F5D6E" w:rsidP="000F5D6E">
      <w:pPr>
        <w:pStyle w:val="ListParagraph"/>
        <w:numPr>
          <w:ilvl w:val="0"/>
          <w:numId w:val="8"/>
        </w:numPr>
        <w:rPr>
          <w:i/>
          <w:iCs/>
        </w:rPr>
      </w:pPr>
      <w:r w:rsidRPr="000F5D6E">
        <w:rPr>
          <w:i/>
          <w:iCs/>
        </w:rPr>
        <w:t xml:space="preserve">Number of carriers to measure </w:t>
      </w:r>
    </w:p>
    <w:p w14:paraId="212D3E5B" w14:textId="5155EE11" w:rsidR="000F5D6E" w:rsidRPr="000F5D6E" w:rsidRDefault="000F5D6E" w:rsidP="000F5D6E">
      <w:pPr>
        <w:pStyle w:val="ListParagraph"/>
        <w:numPr>
          <w:ilvl w:val="0"/>
          <w:numId w:val="8"/>
        </w:numPr>
        <w:rPr>
          <w:i/>
          <w:iCs/>
        </w:rPr>
      </w:pPr>
      <w:r w:rsidRPr="000F5D6E">
        <w:rPr>
          <w:i/>
          <w:iCs/>
        </w:rPr>
        <w:t>UE behavior on cell change</w:t>
      </w:r>
    </w:p>
    <w:p w14:paraId="689AD9EA" w14:textId="40824F79" w:rsidR="000F5D6E" w:rsidRPr="000F5D6E" w:rsidRDefault="000F5D6E" w:rsidP="000F5D6E">
      <w:pPr>
        <w:pStyle w:val="ListParagraph"/>
        <w:numPr>
          <w:ilvl w:val="0"/>
          <w:numId w:val="8"/>
        </w:numPr>
        <w:rPr>
          <w:i/>
          <w:iCs/>
        </w:rPr>
      </w:pPr>
      <w:r w:rsidRPr="000F5D6E">
        <w:rPr>
          <w:i/>
          <w:iCs/>
        </w:rPr>
        <w:t>Serving cell threshold for EMR</w:t>
      </w:r>
    </w:p>
    <w:p w14:paraId="622FB457" w14:textId="747C6598" w:rsidR="000F5D6E" w:rsidRPr="000F5D6E" w:rsidRDefault="000F5D6E" w:rsidP="000F5D6E">
      <w:pPr>
        <w:rPr>
          <w:i/>
          <w:iCs/>
        </w:rPr>
      </w:pPr>
    </w:p>
    <w:p w14:paraId="63527473" w14:textId="5AD3A2E8" w:rsidR="000F5D6E" w:rsidRPr="000F5D6E" w:rsidRDefault="000F5D6E" w:rsidP="000F5D6E">
      <w:pPr>
        <w:rPr>
          <w:i/>
          <w:iCs/>
        </w:rPr>
      </w:pPr>
      <w:r w:rsidRPr="000F5D6E">
        <w:rPr>
          <w:i/>
          <w:iCs/>
        </w:rPr>
        <w:t>For LTE EMR</w:t>
      </w:r>
    </w:p>
    <w:p w14:paraId="041D7AF9" w14:textId="2A894F5C" w:rsidR="000F5D6E" w:rsidRPr="000F5D6E" w:rsidRDefault="000F5D6E" w:rsidP="000F5D6E">
      <w:pPr>
        <w:pStyle w:val="ListParagraph"/>
        <w:numPr>
          <w:ilvl w:val="0"/>
          <w:numId w:val="9"/>
        </w:numPr>
        <w:rPr>
          <w:i/>
          <w:iCs/>
        </w:rPr>
      </w:pPr>
      <w:r w:rsidRPr="000F5D6E">
        <w:rPr>
          <w:i/>
          <w:iCs/>
        </w:rPr>
        <w:t xml:space="preserve">UE capability for NR carriers to be separate or same for NR </w:t>
      </w:r>
    </w:p>
    <w:p w14:paraId="247C5D59" w14:textId="57C62525" w:rsidR="000F5D6E" w:rsidRPr="000F5D6E" w:rsidRDefault="000F5D6E" w:rsidP="000F5D6E">
      <w:pPr>
        <w:pStyle w:val="ListParagraph"/>
        <w:numPr>
          <w:ilvl w:val="0"/>
          <w:numId w:val="9"/>
        </w:numPr>
        <w:rPr>
          <w:i/>
          <w:iCs/>
        </w:rPr>
      </w:pPr>
      <w:r w:rsidRPr="000F5D6E">
        <w:rPr>
          <w:i/>
          <w:iCs/>
        </w:rPr>
        <w:t>Number of NR carriers to measure</w:t>
      </w:r>
    </w:p>
    <w:p w14:paraId="10E2AA36" w14:textId="678BED95" w:rsidR="000F5D6E" w:rsidRDefault="000F5D6E" w:rsidP="000F5D6E">
      <w:r>
        <w:t xml:space="preserve">In this contribution we provide our view on the above items. </w:t>
      </w:r>
    </w:p>
    <w:p w14:paraId="79394C5E" w14:textId="77777777" w:rsidR="000F5D6E" w:rsidRDefault="000F5D6E" w:rsidP="000F5D6E"/>
    <w:p w14:paraId="2B3C270E" w14:textId="0C09C322" w:rsidR="00DE7B6E" w:rsidRPr="00DE7B6E" w:rsidRDefault="006750D6" w:rsidP="00DE7B6E">
      <w:pPr>
        <w:pStyle w:val="Heading1"/>
      </w:pPr>
      <w:r>
        <w:t xml:space="preserve">Discussion   </w:t>
      </w:r>
    </w:p>
    <w:p w14:paraId="271ADB3D" w14:textId="6B938712" w:rsidR="000F5D6E" w:rsidRDefault="000F5D6E" w:rsidP="000F5D6E">
      <w:pPr>
        <w:pStyle w:val="Heading2"/>
      </w:pPr>
      <w:r>
        <w:t>NR EMR</w:t>
      </w:r>
    </w:p>
    <w:p w14:paraId="5CF7E1D9" w14:textId="48C7075A" w:rsidR="00DE7B6E" w:rsidRDefault="00DE7B6E" w:rsidP="000F5D6E">
      <w:r>
        <w:t xml:space="preserve">For the definition of overlapping and non-overlapping carriers, it should depend on what the UE is measuring. For overlapping carriers this would be the carriers UE is measuring for both mobility and EMR. Non-overlapping carriers are those that UE is measuring only for EMR. </w:t>
      </w:r>
    </w:p>
    <w:p w14:paraId="2C031BA8" w14:textId="77777777" w:rsidR="00DE7B6E" w:rsidRDefault="00DE7B6E" w:rsidP="000F5D6E">
      <w:r w:rsidRPr="00DE7B6E">
        <w:rPr>
          <w:b/>
          <w:bCs/>
        </w:rPr>
        <w:t>Proposal 1a</w:t>
      </w:r>
      <w:r>
        <w:t>: An overlapping carrier is defined as a carrier that UE is actively measuring for both mobility and EMR</w:t>
      </w:r>
    </w:p>
    <w:p w14:paraId="183AE5AA" w14:textId="46F53A36" w:rsidR="00DE7B6E" w:rsidRPr="000F5D6E" w:rsidRDefault="00DE7B6E" w:rsidP="000F5D6E">
      <w:r w:rsidRPr="00DE7B6E">
        <w:rPr>
          <w:b/>
          <w:bCs/>
        </w:rPr>
        <w:t>Proposal 1b</w:t>
      </w:r>
      <w:r>
        <w:t xml:space="preserve">: A non-overlapping carrier is defined as a carrier that the UE is actively measuring for EMR only.  </w:t>
      </w:r>
    </w:p>
    <w:p w14:paraId="2032E551" w14:textId="654AE942" w:rsidR="000F5D6E" w:rsidRDefault="000A25C1" w:rsidP="006750D6">
      <w:r>
        <w:lastRenderedPageBreak/>
        <w:t xml:space="preserve">The use of the EMR is for UE to able to do fast SCell activation. This means that any carriers configured for EMR should be in UE’s supported CA combination capability. The working assumption in WF should be confirmed. </w:t>
      </w:r>
    </w:p>
    <w:p w14:paraId="5E28DB8D" w14:textId="0F77C61C" w:rsidR="000A25C1" w:rsidRDefault="000A25C1" w:rsidP="006750D6">
      <w:r w:rsidRPr="000A25C1">
        <w:rPr>
          <w:b/>
          <w:bCs/>
        </w:rPr>
        <w:t>Proposal 2a</w:t>
      </w:r>
      <w:r>
        <w:t>: EMR requirements for NR carriers while camped on NR only apply if EMR carriers are in CA combination supported by UE</w:t>
      </w:r>
    </w:p>
    <w:p w14:paraId="00F7E303" w14:textId="68935290" w:rsidR="000A25C1" w:rsidRDefault="000A25C1" w:rsidP="006750D6">
      <w:r w:rsidRPr="000A25C1">
        <w:rPr>
          <w:b/>
          <w:bCs/>
        </w:rPr>
        <w:t>Proposal 2b</w:t>
      </w:r>
      <w:r>
        <w:t xml:space="preserve">: EMR requirements for NR carriers while camped on LTE only apply if UE supports EN-DC and NR EMR carriers are in the ENDC band combination supported by UE. </w:t>
      </w:r>
    </w:p>
    <w:p w14:paraId="76D34676" w14:textId="209179C3" w:rsidR="000A25C1" w:rsidRDefault="000A25C1" w:rsidP="006750D6">
      <w:r>
        <w:t xml:space="preserve">For the number of </w:t>
      </w:r>
      <w:r w:rsidR="00876CD6">
        <w:t xml:space="preserve">NR </w:t>
      </w:r>
      <w:r>
        <w:t>EMR carriers configured</w:t>
      </w:r>
      <w:r w:rsidR="00876CD6">
        <w:t xml:space="preserve">, the measurement delay scales with the number of carriers configured. In order to keep the specification simple, we can agree to not limit the number of NR carriers that can be configured for EMR, and just use the UE’s idle mode measurement capability as the limit. </w:t>
      </w:r>
    </w:p>
    <w:p w14:paraId="2AD332A7" w14:textId="2C7E6FDD" w:rsidR="00876CD6" w:rsidRDefault="00876CD6" w:rsidP="006750D6">
      <w:r w:rsidRPr="00876CD6">
        <w:rPr>
          <w:b/>
          <w:bCs/>
        </w:rPr>
        <w:t>Proposal 3</w:t>
      </w:r>
      <w:r>
        <w:t xml:space="preserve">: The total number of carriers that the UE must measure, overlapping and non-overlapping, should not exceed UE’s idle mode measurement capability. </w:t>
      </w:r>
    </w:p>
    <w:p w14:paraId="00C26FB1" w14:textId="21582274" w:rsidR="000A25C1" w:rsidRDefault="0019475F" w:rsidP="006750D6">
      <w:r>
        <w:t xml:space="preserve">UE behavior on cell change is a discussion on what the procedure should be. This discussion is more suited to RAN2 or left up to UE implementation. RAN4 need not define any further procedures for cell change. </w:t>
      </w:r>
    </w:p>
    <w:p w14:paraId="264BF691" w14:textId="6584C3FD" w:rsidR="0019475F" w:rsidRDefault="0019475F" w:rsidP="006750D6">
      <w:r w:rsidRPr="0019475F">
        <w:rPr>
          <w:b/>
          <w:bCs/>
        </w:rPr>
        <w:t>Proposal 4</w:t>
      </w:r>
      <w:r>
        <w:t xml:space="preserve">: RAN4 to not define any procedures for UE at cell change. </w:t>
      </w:r>
    </w:p>
    <w:p w14:paraId="3F03F0E8" w14:textId="516122E3" w:rsidR="000A25C1" w:rsidRDefault="002E25E3" w:rsidP="002E25E3">
      <w:pPr>
        <w:pStyle w:val="Heading2"/>
      </w:pPr>
      <w:r>
        <w:t xml:space="preserve">LTE EMR </w:t>
      </w:r>
    </w:p>
    <w:p w14:paraId="16843981" w14:textId="5B160F17" w:rsidR="002E25E3" w:rsidRDefault="002E25E3" w:rsidP="002E25E3">
      <w:r>
        <w:t xml:space="preserve">The first open item in LTE EMR is the capability discussion. Currently a LTE UE can indicate if it supports EMR (for LTE cells ) via </w:t>
      </w:r>
      <w:r w:rsidRPr="002E25E3">
        <w:t>ca-IdleModeMeasurements</w:t>
      </w:r>
      <w:r>
        <w:t xml:space="preserve"> capability. Since there may exist UE’s that support LTE carrier EMR but not NR carrier EMR in LTE idle and UE’s that support both LTE and NR carrier EMR in LTE idle, a new capability for NR EMR in LTE idle should be introduced. </w:t>
      </w:r>
    </w:p>
    <w:p w14:paraId="28669482" w14:textId="4A8DF1C5" w:rsidR="002E25E3" w:rsidRDefault="002E25E3" w:rsidP="002E25E3">
      <w:r w:rsidRPr="002E25E3">
        <w:rPr>
          <w:b/>
          <w:bCs/>
        </w:rPr>
        <w:t>Proposal 5</w:t>
      </w:r>
      <w:r>
        <w:t xml:space="preserve">: New capability bit to be introduced to indicate if a UE support NR EMR in LTE idle. </w:t>
      </w:r>
    </w:p>
    <w:p w14:paraId="7FA00BE8" w14:textId="77777777" w:rsidR="008B43B5" w:rsidRDefault="002E25E3" w:rsidP="002E25E3">
      <w:r>
        <w:t>The existing capability of how many LTE carriers a UE can measure for EMR in LTE idle should be unchanged. If the UE supports NR carrier measurement for EMR in LTE idle then the total number of carriers, overlapping and non-overlapping</w:t>
      </w:r>
      <w:r w:rsidR="008B43B5">
        <w:t xml:space="preserve">, LTE and NR, </w:t>
      </w:r>
      <w:r>
        <w:t xml:space="preserve"> that UE would need to measure should not exceed UE’s measurement</w:t>
      </w:r>
      <w:r w:rsidR="008B43B5">
        <w:t xml:space="preserve"> capability in idle mode. </w:t>
      </w:r>
    </w:p>
    <w:p w14:paraId="22A45174" w14:textId="15835729" w:rsidR="008B43B5" w:rsidRDefault="008B43B5" w:rsidP="002E25E3">
      <w:r w:rsidRPr="008B43B5">
        <w:rPr>
          <w:b/>
          <w:bCs/>
        </w:rPr>
        <w:t>Proposal 6a</w:t>
      </w:r>
      <w:r>
        <w:t>: The number of LTE carriers UE needs to measure for EMR in LTE idle should be the same as in euCA.</w:t>
      </w:r>
    </w:p>
    <w:p w14:paraId="6AB36DAC" w14:textId="14FF643A" w:rsidR="008B43B5" w:rsidRDefault="008B43B5" w:rsidP="002E25E3">
      <w:r w:rsidRPr="008B43B5">
        <w:rPr>
          <w:b/>
          <w:bCs/>
        </w:rPr>
        <w:t>Proposal 6b</w:t>
      </w:r>
      <w:r>
        <w:t xml:space="preserve">: For a UE the supports measurement of NR carriers in LTE idle, the total number of carriers that the UE must measure, overlapping and non-overlapping, LTE and NR, should not exceed UE’s measurement capability. </w:t>
      </w:r>
    </w:p>
    <w:p w14:paraId="4280FF83" w14:textId="39F5B818" w:rsidR="002E25E3" w:rsidRPr="002E25E3" w:rsidRDefault="002E25E3" w:rsidP="002E25E3">
      <w:r>
        <w:t xml:space="preserve"> </w:t>
      </w:r>
    </w:p>
    <w:p w14:paraId="3EC2E6C3" w14:textId="77777777" w:rsidR="0019475F" w:rsidRDefault="0019475F" w:rsidP="006750D6"/>
    <w:p w14:paraId="4BDBD680" w14:textId="77777777" w:rsidR="00432B37" w:rsidRDefault="00432B37" w:rsidP="00330D12">
      <w:pPr>
        <w:pStyle w:val="Heading1"/>
      </w:pPr>
      <w:r>
        <w:t xml:space="preserve">Conclusions </w:t>
      </w:r>
    </w:p>
    <w:p w14:paraId="782CE634" w14:textId="77777777" w:rsidR="008B43B5" w:rsidRDefault="008B43B5" w:rsidP="008B43B5">
      <w:r w:rsidRPr="00DE7B6E">
        <w:rPr>
          <w:b/>
          <w:bCs/>
        </w:rPr>
        <w:t>Proposal 1a</w:t>
      </w:r>
      <w:r>
        <w:t>: An overlapping carrier is defined as a carrier that UE is actively measuring for both mobility and EMR</w:t>
      </w:r>
    </w:p>
    <w:p w14:paraId="7AB4FE62" w14:textId="77777777" w:rsidR="008B43B5" w:rsidRDefault="008B43B5" w:rsidP="008B43B5">
      <w:r w:rsidRPr="00DE7B6E">
        <w:rPr>
          <w:b/>
          <w:bCs/>
        </w:rPr>
        <w:t>Proposal 1b</w:t>
      </w:r>
      <w:r>
        <w:t>: A non-overlapping carrier is defined as a carrier that the UE is actively measuring for EMR only.</w:t>
      </w:r>
    </w:p>
    <w:p w14:paraId="4D389628" w14:textId="77777777" w:rsidR="008B43B5" w:rsidRDefault="008B43B5" w:rsidP="008B43B5">
      <w:r>
        <w:t xml:space="preserve"> </w:t>
      </w:r>
      <w:r w:rsidRPr="000A25C1">
        <w:rPr>
          <w:b/>
          <w:bCs/>
        </w:rPr>
        <w:t>Proposal 2a</w:t>
      </w:r>
      <w:r>
        <w:t>: EMR requirements for NR carriers while camped on NR only apply if EMR carriers are in CA combination supported by UE</w:t>
      </w:r>
    </w:p>
    <w:p w14:paraId="0EE55626" w14:textId="77777777" w:rsidR="008B43B5" w:rsidRDefault="008B43B5" w:rsidP="008B43B5">
      <w:r w:rsidRPr="000A25C1">
        <w:rPr>
          <w:b/>
          <w:bCs/>
        </w:rPr>
        <w:t>Proposal 2b</w:t>
      </w:r>
      <w:r>
        <w:t xml:space="preserve">: EMR requirements for NR carriers while camped on LTE only apply if UE supports EN-DC and NR EMR carriers are in the ENDC band combination supported by UE. </w:t>
      </w:r>
    </w:p>
    <w:p w14:paraId="59B742CA" w14:textId="77777777" w:rsidR="008B43B5" w:rsidRDefault="008B43B5" w:rsidP="008B43B5">
      <w:r w:rsidRPr="00876CD6">
        <w:rPr>
          <w:b/>
          <w:bCs/>
        </w:rPr>
        <w:t>Proposal 3</w:t>
      </w:r>
      <w:r>
        <w:t xml:space="preserve">: The total number of carriers that the UE must measure, overlapping and non-overlapping, should not exceed UE’s idle mode measurement capability. </w:t>
      </w:r>
    </w:p>
    <w:p w14:paraId="5ECD8526" w14:textId="77777777" w:rsidR="008B43B5" w:rsidRDefault="008B43B5" w:rsidP="008B43B5">
      <w:r w:rsidRPr="0019475F">
        <w:rPr>
          <w:b/>
          <w:bCs/>
        </w:rPr>
        <w:t>Proposal 4</w:t>
      </w:r>
      <w:r>
        <w:t xml:space="preserve">: RAN4 to not define any procedures for UE at cell change. </w:t>
      </w:r>
    </w:p>
    <w:p w14:paraId="18826710" w14:textId="77777777" w:rsidR="008B43B5" w:rsidRDefault="008B43B5" w:rsidP="008B43B5">
      <w:r w:rsidRPr="002E25E3">
        <w:rPr>
          <w:b/>
          <w:bCs/>
        </w:rPr>
        <w:t>Proposal 5</w:t>
      </w:r>
      <w:r>
        <w:t xml:space="preserve">: New capability bit to be introduced to indicate if a UE support NR EMR in LTE idle. </w:t>
      </w:r>
    </w:p>
    <w:p w14:paraId="582383A3" w14:textId="77777777" w:rsidR="008B43B5" w:rsidRDefault="008B43B5" w:rsidP="008B43B5">
      <w:r w:rsidRPr="008B43B5">
        <w:rPr>
          <w:b/>
          <w:bCs/>
        </w:rPr>
        <w:t>Proposal 6a</w:t>
      </w:r>
      <w:r>
        <w:t>: The number of LTE carriers UE needs to measure for EMR in LTE idle should be the same as in euCA.</w:t>
      </w:r>
    </w:p>
    <w:p w14:paraId="657DD9C8" w14:textId="77777777" w:rsidR="008B43B5" w:rsidRDefault="008B43B5" w:rsidP="008B43B5">
      <w:r w:rsidRPr="008B43B5">
        <w:rPr>
          <w:b/>
          <w:bCs/>
        </w:rPr>
        <w:t>Proposal 6b</w:t>
      </w:r>
      <w:r>
        <w:t xml:space="preserve">: For a UE the supports measurement of NR carriers in LTE idle, the total number of carriers that the UE must measure, overlapping and non-overlapping, LTE and NR, should not exceed UE’s measurement capability. </w:t>
      </w:r>
    </w:p>
    <w:p w14:paraId="6D884E3A" w14:textId="1AFBE979" w:rsidR="008B43B5" w:rsidRPr="000F5D6E" w:rsidRDefault="008B43B5" w:rsidP="008B43B5"/>
    <w:p w14:paraId="5A21FB30" w14:textId="4E28536D" w:rsidR="00AD7CCD" w:rsidRDefault="00670B43" w:rsidP="00670B43">
      <w:pPr>
        <w:pStyle w:val="Heading1"/>
      </w:pPr>
      <w:r>
        <w:t>References</w:t>
      </w:r>
    </w:p>
    <w:p w14:paraId="7C155C6D" w14:textId="0C23823B" w:rsidR="00670B43" w:rsidRPr="00670B43" w:rsidRDefault="00670B43" w:rsidP="00670B43">
      <w:r>
        <w:t xml:space="preserve">[1] </w:t>
      </w:r>
      <w:r w:rsidR="008B43B5" w:rsidRPr="008B43B5">
        <w:t>R4-1915842 WF on MR-DC Early measurement reporting</w:t>
      </w:r>
    </w:p>
    <w:sectPr w:rsidR="00670B43" w:rsidRPr="00670B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91124" w14:textId="77777777" w:rsidR="004E59C5" w:rsidRDefault="004E59C5" w:rsidP="007D7454">
      <w:pPr>
        <w:spacing w:after="0" w:line="240" w:lineRule="auto"/>
      </w:pPr>
      <w:r>
        <w:separator/>
      </w:r>
    </w:p>
  </w:endnote>
  <w:endnote w:type="continuationSeparator" w:id="0">
    <w:p w14:paraId="47A3E1C7" w14:textId="77777777" w:rsidR="004E59C5" w:rsidRDefault="004E59C5"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AE169" w14:textId="77777777" w:rsidR="004E59C5" w:rsidRDefault="004E59C5" w:rsidP="007D7454">
      <w:pPr>
        <w:spacing w:after="0" w:line="240" w:lineRule="auto"/>
      </w:pPr>
      <w:r>
        <w:separator/>
      </w:r>
    </w:p>
  </w:footnote>
  <w:footnote w:type="continuationSeparator" w:id="0">
    <w:p w14:paraId="2BBCE3D2" w14:textId="77777777" w:rsidR="004E59C5" w:rsidRDefault="004E59C5"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CB0CE2"/>
    <w:multiLevelType w:val="hybridMultilevel"/>
    <w:tmpl w:val="FADA3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026B3A"/>
    <w:multiLevelType w:val="hybridMultilevel"/>
    <w:tmpl w:val="C6F09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9C607E"/>
    <w:multiLevelType w:val="hybridMultilevel"/>
    <w:tmpl w:val="2B584ADC"/>
    <w:lvl w:ilvl="0" w:tplc="2D68726A">
      <w:start w:val="1"/>
      <w:numFmt w:val="bullet"/>
      <w:lvlText w:val="–"/>
      <w:lvlJc w:val="left"/>
      <w:pPr>
        <w:tabs>
          <w:tab w:val="num" w:pos="360"/>
        </w:tabs>
        <w:ind w:left="360" w:hanging="360"/>
      </w:pPr>
      <w:rPr>
        <w:rFonts w:ascii="Arial" w:hAnsi="Arial" w:hint="default"/>
      </w:rPr>
    </w:lvl>
    <w:lvl w:ilvl="1" w:tplc="C7ACB37E">
      <w:start w:val="1"/>
      <w:numFmt w:val="bullet"/>
      <w:lvlText w:val="–"/>
      <w:lvlJc w:val="left"/>
      <w:pPr>
        <w:tabs>
          <w:tab w:val="num" w:pos="1080"/>
        </w:tabs>
        <w:ind w:left="1080" w:hanging="360"/>
      </w:pPr>
      <w:rPr>
        <w:rFonts w:ascii="Arial" w:hAnsi="Arial" w:hint="default"/>
      </w:rPr>
    </w:lvl>
    <w:lvl w:ilvl="2" w:tplc="9C700812">
      <w:start w:val="254"/>
      <w:numFmt w:val="bullet"/>
      <w:lvlText w:val="•"/>
      <w:lvlJc w:val="left"/>
      <w:pPr>
        <w:tabs>
          <w:tab w:val="num" w:pos="1800"/>
        </w:tabs>
        <w:ind w:left="1800" w:hanging="360"/>
      </w:pPr>
      <w:rPr>
        <w:rFonts w:ascii="Arial" w:hAnsi="Arial" w:hint="default"/>
      </w:rPr>
    </w:lvl>
    <w:lvl w:ilvl="3" w:tplc="E9028BFC" w:tentative="1">
      <w:start w:val="1"/>
      <w:numFmt w:val="bullet"/>
      <w:lvlText w:val="–"/>
      <w:lvlJc w:val="left"/>
      <w:pPr>
        <w:tabs>
          <w:tab w:val="num" w:pos="2520"/>
        </w:tabs>
        <w:ind w:left="2520" w:hanging="360"/>
      </w:pPr>
      <w:rPr>
        <w:rFonts w:ascii="Arial" w:hAnsi="Arial" w:hint="default"/>
      </w:rPr>
    </w:lvl>
    <w:lvl w:ilvl="4" w:tplc="B0AC5D2C" w:tentative="1">
      <w:start w:val="1"/>
      <w:numFmt w:val="bullet"/>
      <w:lvlText w:val="–"/>
      <w:lvlJc w:val="left"/>
      <w:pPr>
        <w:tabs>
          <w:tab w:val="num" w:pos="3240"/>
        </w:tabs>
        <w:ind w:left="3240" w:hanging="360"/>
      </w:pPr>
      <w:rPr>
        <w:rFonts w:ascii="Arial" w:hAnsi="Arial" w:hint="default"/>
      </w:rPr>
    </w:lvl>
    <w:lvl w:ilvl="5" w:tplc="BAF62128" w:tentative="1">
      <w:start w:val="1"/>
      <w:numFmt w:val="bullet"/>
      <w:lvlText w:val="–"/>
      <w:lvlJc w:val="left"/>
      <w:pPr>
        <w:tabs>
          <w:tab w:val="num" w:pos="3960"/>
        </w:tabs>
        <w:ind w:left="3960" w:hanging="360"/>
      </w:pPr>
      <w:rPr>
        <w:rFonts w:ascii="Arial" w:hAnsi="Arial" w:hint="default"/>
      </w:rPr>
    </w:lvl>
    <w:lvl w:ilvl="6" w:tplc="49689D3A" w:tentative="1">
      <w:start w:val="1"/>
      <w:numFmt w:val="bullet"/>
      <w:lvlText w:val="–"/>
      <w:lvlJc w:val="left"/>
      <w:pPr>
        <w:tabs>
          <w:tab w:val="num" w:pos="4680"/>
        </w:tabs>
        <w:ind w:left="4680" w:hanging="360"/>
      </w:pPr>
      <w:rPr>
        <w:rFonts w:ascii="Arial" w:hAnsi="Arial" w:hint="default"/>
      </w:rPr>
    </w:lvl>
    <w:lvl w:ilvl="7" w:tplc="253CD44C" w:tentative="1">
      <w:start w:val="1"/>
      <w:numFmt w:val="bullet"/>
      <w:lvlText w:val="–"/>
      <w:lvlJc w:val="left"/>
      <w:pPr>
        <w:tabs>
          <w:tab w:val="num" w:pos="5400"/>
        </w:tabs>
        <w:ind w:left="5400" w:hanging="360"/>
      </w:pPr>
      <w:rPr>
        <w:rFonts w:ascii="Arial" w:hAnsi="Arial" w:hint="default"/>
      </w:rPr>
    </w:lvl>
    <w:lvl w:ilvl="8" w:tplc="043CAD1C" w:tentative="1">
      <w:start w:val="1"/>
      <w:numFmt w:val="bullet"/>
      <w:lvlText w:val="–"/>
      <w:lvlJc w:val="left"/>
      <w:pPr>
        <w:tabs>
          <w:tab w:val="num" w:pos="6120"/>
        </w:tabs>
        <w:ind w:left="6120" w:hanging="360"/>
      </w:pPr>
      <w:rPr>
        <w:rFonts w:ascii="Arial" w:hAnsi="Arial" w:hint="default"/>
      </w:rPr>
    </w:lvl>
  </w:abstractNum>
  <w:num w:numId="1">
    <w:abstractNumId w:val="2"/>
  </w:num>
  <w:num w:numId="2">
    <w:abstractNumId w:val="4"/>
  </w:num>
  <w:num w:numId="3">
    <w:abstractNumId w:val="6"/>
  </w:num>
  <w:num w:numId="4">
    <w:abstractNumId w:val="0"/>
  </w:num>
  <w:num w:numId="5">
    <w:abstractNumId w:val="3"/>
  </w:num>
  <w:num w:numId="6">
    <w:abstractNumId w:val="1"/>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40A1F"/>
    <w:rsid w:val="00050D7B"/>
    <w:rsid w:val="000776E5"/>
    <w:rsid w:val="000A25C1"/>
    <w:rsid w:val="000F5D6E"/>
    <w:rsid w:val="00105578"/>
    <w:rsid w:val="001106EF"/>
    <w:rsid w:val="0018076B"/>
    <w:rsid w:val="0019475F"/>
    <w:rsid w:val="001A3B73"/>
    <w:rsid w:val="001A3EEE"/>
    <w:rsid w:val="002058CB"/>
    <w:rsid w:val="00205C82"/>
    <w:rsid w:val="00216926"/>
    <w:rsid w:val="00233796"/>
    <w:rsid w:val="0026033D"/>
    <w:rsid w:val="002648C8"/>
    <w:rsid w:val="00281BA3"/>
    <w:rsid w:val="002C1B1C"/>
    <w:rsid w:val="002C50D8"/>
    <w:rsid w:val="002E25E3"/>
    <w:rsid w:val="002E5195"/>
    <w:rsid w:val="002F00BB"/>
    <w:rsid w:val="003014F5"/>
    <w:rsid w:val="003243B1"/>
    <w:rsid w:val="00330D12"/>
    <w:rsid w:val="00346142"/>
    <w:rsid w:val="00355170"/>
    <w:rsid w:val="0035698D"/>
    <w:rsid w:val="003669ED"/>
    <w:rsid w:val="00371A13"/>
    <w:rsid w:val="00374D61"/>
    <w:rsid w:val="003E6A62"/>
    <w:rsid w:val="00403E25"/>
    <w:rsid w:val="004153D3"/>
    <w:rsid w:val="004222C5"/>
    <w:rsid w:val="00432B37"/>
    <w:rsid w:val="00475BBB"/>
    <w:rsid w:val="004918AC"/>
    <w:rsid w:val="004B2231"/>
    <w:rsid w:val="004B39FE"/>
    <w:rsid w:val="004C3807"/>
    <w:rsid w:val="004D05D0"/>
    <w:rsid w:val="004D0C87"/>
    <w:rsid w:val="004E14A8"/>
    <w:rsid w:val="004E5225"/>
    <w:rsid w:val="004E59C5"/>
    <w:rsid w:val="0050541E"/>
    <w:rsid w:val="005550F5"/>
    <w:rsid w:val="005F2189"/>
    <w:rsid w:val="00610970"/>
    <w:rsid w:val="00616983"/>
    <w:rsid w:val="00670784"/>
    <w:rsid w:val="00670B43"/>
    <w:rsid w:val="00671630"/>
    <w:rsid w:val="006750D6"/>
    <w:rsid w:val="00696462"/>
    <w:rsid w:val="006A74F0"/>
    <w:rsid w:val="00721F15"/>
    <w:rsid w:val="00736DB1"/>
    <w:rsid w:val="007507FC"/>
    <w:rsid w:val="0075422D"/>
    <w:rsid w:val="007818E1"/>
    <w:rsid w:val="007A42CE"/>
    <w:rsid w:val="007B4593"/>
    <w:rsid w:val="007D1376"/>
    <w:rsid w:val="007D7454"/>
    <w:rsid w:val="00813799"/>
    <w:rsid w:val="00876CD6"/>
    <w:rsid w:val="00877B2B"/>
    <w:rsid w:val="008B43B5"/>
    <w:rsid w:val="008E22B1"/>
    <w:rsid w:val="008E313D"/>
    <w:rsid w:val="00901FA0"/>
    <w:rsid w:val="00940F2B"/>
    <w:rsid w:val="00943B69"/>
    <w:rsid w:val="0097567D"/>
    <w:rsid w:val="009C4723"/>
    <w:rsid w:val="009C740C"/>
    <w:rsid w:val="009D3487"/>
    <w:rsid w:val="009E132D"/>
    <w:rsid w:val="009F2370"/>
    <w:rsid w:val="00A112D4"/>
    <w:rsid w:val="00A2034A"/>
    <w:rsid w:val="00A54EDE"/>
    <w:rsid w:val="00A61604"/>
    <w:rsid w:val="00A71475"/>
    <w:rsid w:val="00AA5E22"/>
    <w:rsid w:val="00AA64EA"/>
    <w:rsid w:val="00AA7CC7"/>
    <w:rsid w:val="00AD7CCD"/>
    <w:rsid w:val="00AE79C1"/>
    <w:rsid w:val="00AF61A8"/>
    <w:rsid w:val="00B01AD7"/>
    <w:rsid w:val="00B06907"/>
    <w:rsid w:val="00B94A45"/>
    <w:rsid w:val="00BC2B29"/>
    <w:rsid w:val="00BC59E1"/>
    <w:rsid w:val="00BD00B2"/>
    <w:rsid w:val="00BD5FFC"/>
    <w:rsid w:val="00C07825"/>
    <w:rsid w:val="00CA61B1"/>
    <w:rsid w:val="00CC3F86"/>
    <w:rsid w:val="00D141CC"/>
    <w:rsid w:val="00D17969"/>
    <w:rsid w:val="00DE10CA"/>
    <w:rsid w:val="00DE5149"/>
    <w:rsid w:val="00DE7B6E"/>
    <w:rsid w:val="00E80553"/>
    <w:rsid w:val="00E833B6"/>
    <w:rsid w:val="00EB2CDD"/>
    <w:rsid w:val="00EC65B6"/>
    <w:rsid w:val="00ED2293"/>
    <w:rsid w:val="00EF7F9C"/>
    <w:rsid w:val="00F47E7A"/>
    <w:rsid w:val="00F5668D"/>
    <w:rsid w:val="00F61425"/>
    <w:rsid w:val="00F74CA6"/>
    <w:rsid w:val="00F74D8B"/>
    <w:rsid w:val="00FA552F"/>
    <w:rsid w:val="00FB0B41"/>
    <w:rsid w:val="00FB5CCB"/>
    <w:rsid w:val="00FD11A8"/>
    <w:rsid w:val="00FD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5883922">
      <w:bodyDiv w:val="1"/>
      <w:marLeft w:val="0"/>
      <w:marRight w:val="0"/>
      <w:marTop w:val="0"/>
      <w:marBottom w:val="0"/>
      <w:divBdr>
        <w:top w:val="none" w:sz="0" w:space="0" w:color="auto"/>
        <w:left w:val="none" w:sz="0" w:space="0" w:color="auto"/>
        <w:bottom w:val="none" w:sz="0" w:space="0" w:color="auto"/>
        <w:right w:val="none" w:sz="0" w:space="0" w:color="auto"/>
      </w:divBdr>
      <w:divsChild>
        <w:div w:id="1000162027">
          <w:marLeft w:val="1166"/>
          <w:marRight w:val="0"/>
          <w:marTop w:val="106"/>
          <w:marBottom w:val="0"/>
          <w:divBdr>
            <w:top w:val="none" w:sz="0" w:space="0" w:color="auto"/>
            <w:left w:val="none" w:sz="0" w:space="0" w:color="auto"/>
            <w:bottom w:val="none" w:sz="0" w:space="0" w:color="auto"/>
            <w:right w:val="none" w:sz="0" w:space="0" w:color="auto"/>
          </w:divBdr>
        </w:div>
        <w:div w:id="924805356">
          <w:marLeft w:val="1800"/>
          <w:marRight w:val="0"/>
          <w:marTop w:val="91"/>
          <w:marBottom w:val="0"/>
          <w:divBdr>
            <w:top w:val="none" w:sz="0" w:space="0" w:color="auto"/>
            <w:left w:val="none" w:sz="0" w:space="0" w:color="auto"/>
            <w:bottom w:val="none" w:sz="0" w:space="0" w:color="auto"/>
            <w:right w:val="none" w:sz="0" w:space="0" w:color="auto"/>
          </w:divBdr>
        </w:div>
        <w:div w:id="501893240">
          <w:marLeft w:val="1800"/>
          <w:marRight w:val="0"/>
          <w:marTop w:val="91"/>
          <w:marBottom w:val="0"/>
          <w:divBdr>
            <w:top w:val="none" w:sz="0" w:space="0" w:color="auto"/>
            <w:left w:val="none" w:sz="0" w:space="0" w:color="auto"/>
            <w:bottom w:val="none" w:sz="0" w:space="0" w:color="auto"/>
            <w:right w:val="none" w:sz="0" w:space="0" w:color="auto"/>
          </w:divBdr>
        </w:div>
      </w:divsChild>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5453BA-CEE7-4454-83A8-84CB47946B99}">
  <ds:schemaRefs>
    <ds:schemaRef ds:uri="http://schemas.microsoft.com/sharepoint/v3/contenttype/forms"/>
  </ds:schemaRefs>
</ds:datastoreItem>
</file>

<file path=customXml/itemProps2.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48</cp:revision>
  <dcterms:created xsi:type="dcterms:W3CDTF">2019-11-07T07:24:00Z</dcterms:created>
  <dcterms:modified xsi:type="dcterms:W3CDTF">2020-02-14T19:26:00Z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